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jc w:val="right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Dear Future Third Grade Families,                    </w:t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Welcome to Third Grade!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In order to help you prepare for an exciting year of learning, here are some supplies you will need for their 3rd grade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8"/>
          <w:szCs w:val="28"/>
          <w:rtl w:val="0"/>
        </w:rPr>
        <w:t xml:space="preserve">Bring these items to school with you on the first day. </w:t>
      </w: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​Kindly label your supplies in advance.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45"/>
        <w:gridCol w:w="5460"/>
        <w:tblGridChange w:id="0">
          <w:tblGrid>
            <w:gridCol w:w="5745"/>
            <w:gridCol w:w="546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wide-ruled marble notebooks, labeled with first and last name.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Boxes 72 count pre-sharpened #2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0B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(NO MECHANICAL PENCILS)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large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soft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 case with zipper for school supplies.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hard plastic boxes.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Crayola colored pencils (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MARKERS)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HARD PLASTIC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folders (1 of each color, green, red, purple, orange, yellow, blue)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thin Expo dry erase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thick Expo dry erase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large glue sticks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12 inch ruler with inches and centimeters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Activity/coloring  book for rainy day recess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 reams of white printing paper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Earbuds or headphones in a ziploc with student names  (for iPad/laptop use, stays in school)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containers disinfecting wipes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rolls of paper towels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boxes of tissues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quart size ZipLoc bags</w:t>
            </w:r>
          </w:p>
          <w:p w:rsidR="00000000" w:rsidDel="00000000" w:rsidP="00000000" w:rsidRDefault="00000000" w:rsidRPr="00000000" w14:paraId="0000001D">
            <w:pPr>
              <w:ind w:left="72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(boys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gallon size ZipLoc bags 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(girls only)</w:t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*Having a reusable water bottle will be helpful throughout the year. Please lab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el with your child’s name. Make sure it is a snap top and not a straw top- to prevent spills.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Be on the lookout for the Staples and Walmart pre-season sales to get many of these items at a steep discount!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Times New Roman"/>
  <w:font w:name="Courier New"/>
  <w:font w:name="Happy Monkey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0aT/gIA0z1TI6sU5y+++hnRUw==">CgMxLjA4AHIhMUFQMl9lZjlLWFRIMVdXNVZpYlBqempNWGpLRGN5NVhZ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