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Fourth Grade Families,                    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Welcome to Fourth Grade!</w:t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 4th grade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Please 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notebooks and folders,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all other supplies are community supplies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" w:tblpY="0"/>
        <w:tblW w:w="997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 marble notebooks, labeled with first and last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plastic folders (solid colors)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red, blue, yellow, green, purple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pencil erasers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 dozen sharpened Ticonderoga #2 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Expo dry erase markers (thin tip if possible)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glue sticks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crayons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colored pencils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construction paper 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72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boxes of tissues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(we will ask for additional throughout the year as needed)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disinfecting wipes (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Lysol preferred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 of hand sanitizer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 set of inexpensive EARBUDS to keep 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printer paper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sandwich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size Ziplocs</w:t>
            </w:r>
          </w:p>
          <w:p w:rsidR="00000000" w:rsidDel="00000000" w:rsidP="00000000" w:rsidRDefault="00000000" w:rsidRPr="00000000" w14:paraId="00000021">
            <w:pPr>
              <w:ind w:left="72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*Having a reusable water bottle will be helpful throughout the year to eliminate the need to frequently visit the water fountain.  Make sure it is a snap top and not a straw top- to prevent spills.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5kfTT9JzBti55KkWtvvin89AA==">CgMxLjA4AHIhMXVPQVpBUzI4c2RkNnJuenRDNVh0V1poclZ2d3ZuWTdP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