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                                                                                        June 2025</w:t>
      </w:r>
    </w:p>
    <w:p w:rsidR="00000000" w:rsidDel="00000000" w:rsidP="00000000" w:rsidRDefault="00000000" w:rsidRPr="00000000" w14:paraId="00000002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Kindergarten Grade Families,                   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Welcome to Kindergarten!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their Kindergarten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Bring these items to school with you by Friday, September 5th.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all bags.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5"/>
        <w:gridCol w:w="5370"/>
        <w:tblGridChange w:id="0">
          <w:tblGrid>
            <w:gridCol w:w="5505"/>
            <w:gridCol w:w="537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plastic folders (no side pockets- bottom pockets only)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boxes of pre-sharpened #2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boxes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Crayola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crayons (24 count)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Crayola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colored pencils (12 count in each box)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multi-colored construction paper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Jumbo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Elmer’s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glue sticks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bottle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Elmer’s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blunt edge 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thin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black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Expo dry erase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thick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black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Expo dry erase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 (we will ask for additional throughout the year as needed)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boxes of Kleenex tissues (we will ask for additional throughout the year as needed)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containers of baby wipes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bottles of antibacterial soap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bottle of hand sanitizer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quart -size box of Ziploc bags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gallon-size box of Ziploc bags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disinfecting wipes (Lysol preferred)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set of inexpensive headphones with a jack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to keep in class</w:t>
            </w:r>
          </w:p>
          <w:p w:rsidR="00000000" w:rsidDel="00000000" w:rsidP="00000000" w:rsidRDefault="00000000" w:rsidRPr="00000000" w14:paraId="0000001E">
            <w:pPr>
              <w:ind w:left="72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*Having a reusable water bottle will be helpful throughout the year to eliminate the need to frequently visit the water fountain. The bottle should have a snap top not a straw top to prevent spills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*1 complete change of clothing in a labeled bag (please include socks, underwear, pants, and a shirt) 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0oQrFJOE+UyULRNlsJQILvQkQ==">CgMxLjA4AHIhMXk1cnVOY0g2OVlMNDMwSTdITlJGMG9vSi1JYzhEYWlF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